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0" w:name="_Toc0"/>
      <w:r>
        <w:t>Флагманская коллекция: Сафари в Кении + отдых на побережье Индийского океана</w:t>
      </w:r>
      <w:bookmarkEnd w:id="0"/>
    </w:p>
    <w:p/>
    <w:p>
      <w:pPr>
        <w:pStyle w:val="pStyle"/>
      </w:pPr>
      <w:r>
        <w:rPr>
          <w:b w:val="1"/>
          <w:bCs w:val="1"/>
        </w:rPr>
        <w:t xml:space="preserve">Даты тура: </w:t>
      </w:r>
      <w:r>
        <w:rPr/>
        <w:t xml:space="preserve">01.06.2026 - 31.12.2026</w:t>
      </w:r>
    </w:p>
    <w:p>
      <w:pPr>
        <w:pStyle w:val="pStyle"/>
      </w:pPr>
      <w:r>
        <w:rPr>
          <w:b w:val="1"/>
          <w:bCs w:val="1"/>
        </w:rPr>
        <w:t xml:space="preserve">Страна: </w:t>
      </w:r>
      <w:r>
        <w:rPr/>
        <w:t xml:space="preserve">Кения</w:t>
      </w:r>
    </w:p>
    <w:p>
      <w:pPr>
        <w:pStyle w:val="pStyle"/>
      </w:pPr>
      <w:r>
        <w:rPr>
          <w:b w:val="1"/>
          <w:bCs w:val="1"/>
        </w:rPr>
        <w:t xml:space="preserve">Маршрут: </w:t>
      </w:r>
      <w:r>
        <w:rPr/>
        <w:t xml:space="preserve">Найроби – Амбосели – Масаи Мара - Момбаса</w:t>
      </w:r>
    </w:p>
    <w:p>
      <w:pPr>
        <w:pStyle w:val="pStyle"/>
      </w:pPr>
      <w:r>
        <w:rPr>
          <w:b w:val="1"/>
          <w:bCs w:val="1"/>
        </w:rPr>
        <w:t xml:space="preserve">Продолжительность тура: </w:t>
      </w:r>
      <w:r>
        <w:rPr/>
        <w:t xml:space="preserve">214 дней / 213 ночей</w:t>
      </w:r>
    </w:p>
    <w:p>
      <w:pPr>
        <w:pStyle w:val="pStyle"/>
      </w:pPr>
      <w:r>
        <w:rPr>
          <w:b w:val="1"/>
          <w:bCs w:val="1"/>
        </w:rPr>
        <w:t xml:space="preserve">Стоимость тура: </w:t>
      </w:r>
      <w:r>
        <w:rPr/>
        <w:t xml:space="preserve">от 16220 $</w:t>
      </w:r>
    </w:p>
    <w:p/>
    <w:p>
      <w:pPr>
        <w:jc w:val="center"/>
      </w:pPr>
      <w:r>
        <w:pict>
          <v:shape type="#_x0000_t75" stroked="f" style="width:450pt; height:300.1122754491pt; margin-left:0pt; margin-top:0pt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/>
    <w:p>
      <w:pPr>
        <w:pStyle w:val="Heading2"/>
      </w:pPr>
      <w:bookmarkStart w:id="1" w:name="_Toc1"/>
      <w:r>
        <w:t>Описание тура</w:t>
      </w:r>
      <w:bookmarkEnd w:id="1"/>
    </w:p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1: Прилет в Найроби. Трансфер и размещение в отеле. Свободное время для отдыха.</w:t>
      </w:r>
    </w:p>
    <w:tbl>
      <w:tblGrid>
        <w:gridCol w:w="5442.5196850393704153248108923435211181640625" w:type="dxa"/>
        <w:gridCol w:w="3628.346456692913307051640003919601440429687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5442.5196850393704153248108923435211181640625" w:type="dxa"/>
            <w:vAlign w:val="top"/>
            <w:noWrap/>
          </w:tcPr>
          <w:p>
            <w:pPr>
              <w:spacing w:after="100"/>
            </w:pPr>
            <w:r>
              <w:rPr/>
              <w:t xml:space="preserve">Прибытие в Найроби (аэропорт JKIA).</w:t>
            </w:r>
          </w:p>
          <w:p>
            <w:pPr>
              <w:spacing w:after="100"/>
            </w:pPr>
            <w:r>
              <w:rPr/>
              <w:t xml:space="preserve">Город под солнцем и мировая столица сафари. За последнее столетие Найроби превратился из необитаемой болотной местности в процветающий современный город. На сегодняшний день это один из крупнейших и интереснейших городов Африки.</w:t>
            </w:r>
          </w:p>
        </w:tc>
        <w:tc>
          <w:tcPr>
            <w:tcW w:w="3628.3464566929133070516400039196014404296875" w:type="dxa"/>
            <w:vAlign w:val="top"/>
            <w:noWrap/>
          </w:tcPr>
          <w:p>
            <w:pPr/>
            <w:r>
              <w:pict>
                <v:shape type="#_x0000_t75" stroked="f" style="width:242pt; height:170.03020833333pt; margin-left:0pt; margin-top:113.38582677165pt; mso-position-horizontal:left; mso-position-vertical:top; mso-position-horizontal-relative:char; mso-position-vertical-relative:line;">
                  <w10:wrap type="inline"/>
                  <v:imagedata r:id="rId8" o:title=""/>
                </v:shape>
              </w:pict>
            </w:r>
          </w:p>
        </w:tc>
      </w:tr>
    </w:tbl>
    <w:p/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Трансфер и размещение в прекрасном бутик-отеле с видом на живописные холмы Нгонг.</w:t>
            </w:r>
          </w:p>
          <w:p>
            <w:pPr>
              <w:spacing w:after="100"/>
            </w:pPr>
            <w:r>
              <w:rPr/>
              <w:t xml:space="preserve">Здесь Вы сможете насладиться атмосферой колониальной роскоши, уединения и комфорта, а также набраться сил перед предстоящим приключением.</w:t>
            </w:r>
          </w:p>
          <w:p>
            <w:pPr>
              <w:spacing w:after="100"/>
            </w:pPr>
            <w:r>
              <w:rPr/>
              <w:t xml:space="preserve">Ужин в отеле.</w: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Hemingways Hotel Nairobi, Deluxe Suite</w:t>
      </w:r>
    </w:p>
    <w:p>
      <w:pPr/>
      <w:r>
        <w:rPr>
          <w:b w:val="1"/>
          <w:bCs w:val="1"/>
        </w:rPr>
        <w:t xml:space="preserve">Питание: </w:t>
      </w:r>
      <w:r>
        <w:rPr/>
        <w:t xml:space="preserve">Полупансион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2: Перелет в Амбосели. Вечернее сафари.</w:t>
      </w:r>
    </w:p>
    <w:tbl>
      <w:tblGrid>
        <w:gridCol w:w="5442.5196850393704153248108923435211181640625" w:type="dxa"/>
        <w:gridCol w:w="3628.346456692913307051640003919601440429687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5442.5196850393704153248108923435211181640625" w:type="dxa"/>
            <w:vAlign w:val="top"/>
            <w:noWrap/>
          </w:tcPr>
          <w:p>
            <w:pPr>
              <w:spacing w:after="100"/>
            </w:pPr>
            <w:r>
              <w:rPr/>
              <w:t xml:space="preserve">Завтрак в отеле. Трансфер в аэропорт (WIL). Перелет в Амбосели.</w:t>
            </w:r>
          </w:p>
          <w:p>
            <w:pPr>
              <w:spacing w:after="100"/>
            </w:pPr>
            <w:r>
              <w:rPr/>
              <w:t xml:space="preserve">Трансфер и размещение в лодже. Обед. Вечернее сафари. Возвращение в лодж к ужину.</w:t>
            </w:r>
          </w:p>
        </w:tc>
        <w:tc>
          <w:tcPr>
            <w:tcW w:w="3628.3464566929133070516400039196014404296875" w:type="dxa"/>
            <w:vAlign w:val="top"/>
            <w:noWrap/>
          </w:tcPr>
          <w:p>
            <w:pPr/>
            <w:r>
              <w:pict>
                <v:shape type="#_x0000_t75" stroked="f" style="width:242pt; height:124.79520295203pt; margin-left:0pt; margin-top:113.38582677165pt; mso-position-horizontal:left; mso-position-vertical:top; mso-position-horizontal-relative:char; mso-position-vertical-relative:line;">
                  <w10:wrap type="inline"/>
                  <v:imagedata r:id="rId9" o:title=""/>
                </v:shape>
              </w:pict>
            </w:r>
          </w:p>
        </w:tc>
      </w:tr>
    </w:tbl>
    <w:p/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Уютный лодж в самом сердце заповедника Кимана - первого в Кении заповедника, принадлежащего местной общине.</w:t>
            </w:r>
          </w:p>
          <w:p>
            <w:pPr>
              <w:spacing w:after="100"/>
            </w:pPr>
            <w:r>
              <w:rPr/>
              <w:t xml:space="preserve">У самого подножия величественного Килиманджаро (самой высокой горой Африки), Кимана славится своими живописными пейзажами и высокой плотностью диких животных.</w:t>
            </w:r>
          </w:p>
          <w:p>
            <w:pPr>
              <w:spacing w:after="100"/>
            </w:pPr>
            <w:r>
              <w:rPr/>
              <w:t xml:space="preserve">Расположенный в реликтовом лесу, где бродят некоторые из последних в Африке слонов Super Tuskers — слонов с бивнями настолько большими, что они волочатся по земле при ходьбе — Angama Amboseli станет прекрасным началом любого сафари в Восточной Африке.</w: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Angama Amboseli, Suite</w:t>
      </w:r>
    </w:p>
    <w:p>
      <w:pPr/>
      <w:r>
        <w:rPr>
          <w:b w:val="1"/>
          <w:bCs w:val="1"/>
        </w:rPr>
        <w:t xml:space="preserve">Питание: </w:t>
      </w:r>
      <w:r>
        <w:rPr/>
        <w:t xml:space="preserve">Все включено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3: Сафари в Амбосели.</w:t>
      </w:r>
    </w:p>
    <w:tbl>
      <w:tblGrid>
        <w:gridCol w:w="5442.5196850393704153248108923435211181640625" w:type="dxa"/>
        <w:gridCol w:w="3628.346456692913307051640003919601440429687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5442.5196850393704153248108923435211181640625" w:type="dxa"/>
            <w:vAlign w:val="top"/>
            <w:noWrap/>
          </w:tcPr>
          <w:p>
            <w:pPr>
              <w:spacing w:after="100"/>
            </w:pPr>
            <w:r>
              <w:rPr/>
              <w:t xml:space="preserve">Сафари в парке Амбосели и заповеднике Кимана.</w:t>
            </w:r>
          </w:p>
          <w:p>
            <w:pPr>
              <w:spacing w:after="100"/>
            </w:pPr>
            <w:r>
              <w:rPr/>
              <w:t xml:space="preserve">Помимо сафари на открытых джипах лодж также проводит: пешие сафари в сопровождении опытного гида-натуралиста по заповеднику Кимана, коктейли на закате в саванне.</w:t>
            </w:r>
          </w:p>
        </w:tc>
        <w:tc>
          <w:tcPr>
            <w:tcW w:w="3628.3464566929133070516400039196014404296875" w:type="dxa"/>
            <w:vAlign w:val="top"/>
            <w:noWrap/>
          </w:tcPr>
          <w:p>
            <w:pPr/>
            <w:r>
              <w:pict>
                <v:shape type="#_x0000_t75" stroked="f" style="width:242pt; height:182.12371134021pt; margin-left:0pt; margin-top:113.38582677165pt; mso-position-horizontal:left; mso-position-vertical:top; mso-position-horizontal-relative:char; mso-position-vertical-relative:line;">
                  <w10:wrap type="inline"/>
                  <v:imagedata r:id="rId10" o:title=""/>
                </v:shape>
              </w:pict>
            </w:r>
          </w:p>
        </w:tc>
      </w:tr>
    </w:tbl>
    <w:p/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Насладитесь богатством живой природы и красотой кенийских пейзажей на фоне Вершины Африки.</w:t>
            </w:r>
          </w:p>
          <w:p>
            <w:pPr>
              <w:spacing w:after="100"/>
            </w:pPr>
            <w:r>
              <w:rPr/>
              <w:t xml:space="preserve">Вулкан Килиманджаро высотой 5895 метров – самая высокая точка африканского континента.</w:t>
            </w:r>
          </w:p>
          <w:p>
            <w:pPr>
              <w:spacing w:after="100"/>
            </w:pPr>
            <w:r>
              <w:rPr/>
              <w:t xml:space="preserve">Удивительный факт: хотя Килиманджаро располагается на территории Танзании, лучший вид на него открывается из Кении, а именно из парка Амбосели, который также знаменит огромной популяцией слонов и других диких животных. И именно здесь сделаны все знаменитые фотографии слонов и жирафов на фоне Килиманджаро, которыми так пестрит интернет.</w: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Angama Amboseli, Suite</w:t>
      </w:r>
    </w:p>
    <w:p>
      <w:pPr/>
      <w:r>
        <w:rPr>
          <w:b w:val="1"/>
          <w:bCs w:val="1"/>
        </w:rPr>
        <w:t xml:space="preserve">Питание: </w:t>
      </w:r>
      <w:r>
        <w:rPr/>
        <w:t xml:space="preserve">Все включено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4: Перелет в Масаи Мара. Вечернее сафари.</w:t>
      </w:r>
    </w:p>
    <w:tbl>
      <w:tblGrid>
        <w:gridCol w:w="5442.5196850393704153248108923435211181640625" w:type="dxa"/>
        <w:gridCol w:w="3628.346456692913307051640003919601440429687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5442.5196850393704153248108923435211181640625" w:type="dxa"/>
            <w:vAlign w:val="top"/>
            <w:noWrap/>
          </w:tcPr>
          <w:p>
            <w:pPr>
              <w:spacing w:after="100"/>
            </w:pPr>
            <w:r>
              <w:rPr/>
              <w:t xml:space="preserve">Завтрак в лодже. Трансфер на взлетную полосу. Перелет в Масаи Мара.</w:t>
            </w:r>
          </w:p>
          <w:p>
            <w:pPr>
              <w:spacing w:after="100"/>
            </w:pPr>
            <w:r>
              <w:rPr/>
              <w:t xml:space="preserve">Трансфер и размещение в лодже. Обед. Вечернее сафари. Возвращение в лодж к ужину.</w:t>
            </w:r>
          </w:p>
        </w:tc>
        <w:tc>
          <w:tcPr>
            <w:tcW w:w="3628.3464566929133070516400039196014404296875" w:type="dxa"/>
            <w:vAlign w:val="top"/>
            <w:noWrap/>
          </w:tcPr>
          <w:p>
            <w:pPr/>
            <w:r>
              <w:pict>
                <v:shape type="#_x0000_t75" stroked="f" style="width:242pt; height:161.39371257485pt; margin-left:0pt; margin-top:113.38582677165pt; mso-position-horizontal:left; mso-position-vertical:top; mso-position-horizontal-relative:char; mso-position-vertical-relative:line;">
                  <w10:wrap type="inline"/>
                  <v:imagedata r:id="rId11" o:title=""/>
                </v:shape>
              </w:pict>
            </w:r>
          </w:p>
        </w:tc>
      </w:tr>
    </w:tbl>
    <w:p/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Заповедник Масаи Мара располагается на границе с Танзанией и является частью экосистемы долины Серенгети. Этот парк по праву может гордиться самой многочисленной в мире популяцией львов. С июня по август здесь пролегает путь Великой миграции животных, поистине захватывающее зрелище, которое собирает туристов и любителей природы со всего мира. </w:t>
            </w:r>
          </w:p>
          <w:p>
            <w:pPr>
              <w:spacing w:after="100"/>
            </w:pPr>
            <w:r>
              <w:rPr/>
              <w:t xml:space="preserve">К услугам гостей лоджа: использование фотостудии, профессиональных камер, объективов и биноклей Canon.</w: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The Ritz-Carlton Masai Mara, Deluxe Suite</w:t>
      </w:r>
    </w:p>
    <w:p>
      <w:pPr/>
      <w:r>
        <w:rPr>
          <w:b w:val="1"/>
          <w:bCs w:val="1"/>
        </w:rPr>
        <w:t xml:space="preserve">Питание: </w:t>
      </w:r>
      <w:r>
        <w:rPr/>
        <w:t xml:space="preserve">Все включено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5: Сафари в Масаи Мара.</w:t>
      </w:r>
    </w:p>
    <w:tbl>
      <w:tblGrid>
        <w:gridCol w:w="5442.5196850393704153248108923435211181640625" w:type="dxa"/>
        <w:gridCol w:w="3628.346456692913307051640003919601440429687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5442.5196850393704153248108923435211181640625" w:type="dxa"/>
            <w:vAlign w:val="top"/>
            <w:noWrap/>
          </w:tcPr>
          <w:p>
            <w:pPr>
              <w:spacing w:after="100"/>
            </w:pPr>
            <w:r>
              <w:rPr/>
              <w:t xml:space="preserve">Сафари в парке Масаи Мара.</w:t>
            </w:r>
          </w:p>
          <w:p>
            <w:pPr>
              <w:spacing w:after="100"/>
            </w:pPr>
            <w:r>
              <w:rPr/>
              <w:t xml:space="preserve">Помимо сафари на открытых джипах лодж также проводит: завтраки, обеды и коктейли на закате в саванне, ужины под звездным небом в Бома лоджа, дегустации вин в местном винном погребе с профессиональным сомелье, посещение деревни племени Масаи, посещение заповедника носорогов (входные билеты оплачиваются отдельно).</w:t>
            </w:r>
          </w:p>
        </w:tc>
        <w:tc>
          <w:tcPr>
            <w:tcW w:w="3628.3464566929133070516400039196014404296875" w:type="dxa"/>
            <w:vAlign w:val="top"/>
            <w:noWrap/>
          </w:tcPr>
          <w:p>
            <w:pPr/>
            <w:r>
              <w:pict>
                <v:shape type="#_x0000_t75" stroked="f" style="width:242pt; height:161.2125748503pt; margin-left:0pt; margin-top:113.38582677165pt; mso-position-horizontal:left; mso-position-vertical:top; mso-position-horizontal-relative:char; mso-position-vertical-relative:line;">
                  <w10:wrap type="inline"/>
                  <v:imagedata r:id="rId12" o:title=""/>
                </v:shape>
              </w:pict>
            </w:r>
          </w:p>
        </w:tc>
      </w:tr>
    </w:tbl>
    <w:p/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Масаи Мара изобилует дикими животными. Сафари здесь всегда насыщены событиями, а гостям гарантированы невероятные и незабываемые моменты знакомства с дикой природой. </w:t>
            </w:r>
          </w:p>
          <w:p>
            <w:pPr>
              <w:spacing w:after="100"/>
            </w:pPr>
            <w:r>
              <w:rPr/>
              <w:t xml:space="preserve">Вы наверняка почувствуете себя в эпицентре одного из многочисленных фильмов National Geographic, ведь этот парк является любимым местом исследователей всего мира по изучению африканской флоры и фауны!</w: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The Ritz-Carlton Masai Mara, Deluxe Suite</w:t>
      </w:r>
    </w:p>
    <w:p>
      <w:pPr/>
      <w:r>
        <w:rPr>
          <w:b w:val="1"/>
          <w:bCs w:val="1"/>
        </w:rPr>
        <w:t xml:space="preserve">Питание: </w:t>
      </w:r>
      <w:r>
        <w:rPr/>
        <w:t xml:space="preserve">Все включено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6: Сафари в Масаи Мара.</w:t>
      </w:r>
    </w:p>
    <w:tbl>
      <w:tblGrid>
        <w:gridCol w:w="5442.5196850393704153248108923435211181640625" w:type="dxa"/>
        <w:gridCol w:w="3628.346456692913307051640003919601440429687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5442.5196850393704153248108923435211181640625" w:type="dxa"/>
            <w:vAlign w:val="top"/>
            <w:noWrap/>
          </w:tcPr>
          <w:p>
            <w:pPr>
              <w:spacing w:after="100"/>
            </w:pPr>
            <w:r>
              <w:rPr/>
              <w:t xml:space="preserve">Сафари в парке Масаи Мара.</w:t>
            </w:r>
          </w:p>
          <w:p>
            <w:pPr>
              <w:spacing w:after="100"/>
            </w:pPr>
            <w:r>
              <w:rPr/>
              <w:t xml:space="preserve">Помимо сафари на открытых джипах лодж также проводит: завтраки, обеды и коктейли на закате в саванне, ужины под звездным небом в Бома лоджа, дегустации вин в местном винном погребе с профессиональным сомелье, посещение деревни племени Масаи, посещение заповедника носорогов (входные билеты оплачиваются отдельно).</w:t>
            </w:r>
          </w:p>
        </w:tc>
        <w:tc>
          <w:tcPr>
            <w:tcW w:w="3628.3464566929133070516400039196014404296875" w:type="dxa"/>
            <w:vAlign w:val="top"/>
            <w:noWrap/>
          </w:tcPr>
          <w:p>
            <w:pPr/>
            <w:r>
              <w:pict>
                <v:shape type="#_x0000_t75" stroked="f" style="width:242pt; height:161.75598802395pt; margin-left:0pt; margin-top:113.38582677165pt; mso-position-horizontal:left; mso-position-vertical:top; mso-position-horizontal-relative:char; mso-position-vertical-relative:line;">
                  <w10:wrap type="inline"/>
                  <v:imagedata r:id="rId13" o:title=""/>
                </v:shape>
              </w:pict>
            </w:r>
          </w:p>
        </w:tc>
      </w:tr>
    </w:tbl>
    <w:p/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Масаи Мара изобилует дикими животными. Сафари здесь всегда насыщены событиями, а гостям гарантированы невероятные и незабываемые моменты знакомства с дикой природой. </w:t>
            </w:r>
          </w:p>
          <w:p>
            <w:pPr>
              <w:spacing w:after="100"/>
            </w:pPr>
            <w:r>
              <w:rPr/>
              <w:t xml:space="preserve">Вы наверняка почувствуете себя в эпицентре одного из многочисленных фильмов National Geographic, ведь этот парк является любимым местом исследователей всего мира по изучению африканской флоры и фауны!</w: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The Ritz-Carlton Masai Mara, Deluxe Suite</w:t>
      </w:r>
    </w:p>
    <w:p>
      <w:pPr/>
      <w:r>
        <w:rPr>
          <w:b w:val="1"/>
          <w:bCs w:val="1"/>
        </w:rPr>
        <w:t xml:space="preserve">Питание: </w:t>
      </w:r>
      <w:r>
        <w:rPr/>
        <w:t xml:space="preserve">Все включено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7: Перелет в Укунду. Трансфер и размещение в отеле на побережье Индийского океана.</w:t>
      </w:r>
    </w:p>
    <w:tbl>
      <w:tblGrid>
        <w:gridCol w:w="5442.5196850393704153248108923435211181640625" w:type="dxa"/>
        <w:gridCol w:w="3628.346456692913307051640003919601440429687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5442.5196850393704153248108923435211181640625" w:type="dxa"/>
            <w:vAlign w:val="top"/>
            <w:noWrap/>
          </w:tcPr>
          <w:p>
            <w:pPr>
              <w:spacing w:after="100"/>
            </w:pPr>
            <w:r>
              <w:rPr/>
              <w:t xml:space="preserve">Завтрак в лодже. Трансфер на взлетную полосу. Перелет в Укунду (UKA).</w:t>
            </w:r>
          </w:p>
          <w:p>
            <w:pPr>
              <w:spacing w:after="100"/>
            </w:pPr>
            <w:r>
              <w:rPr/>
              <w:t xml:space="preserve">Трансфер и размещение в отеле на побережье Индийского океана.</w:t>
            </w:r>
          </w:p>
          <w:p>
            <w:pPr>
              <w:spacing w:after="100"/>
            </w:pPr>
            <w:r>
              <w:rPr/>
              <w:t xml:space="preserve">Сегодня Вы перенесетесь из мира сафари в мир кенийского побережья.</w:t>
            </w:r>
          </w:p>
        </w:tc>
        <w:tc>
          <w:tcPr>
            <w:tcW w:w="3628.3464566929133070516400039196014404296875" w:type="dxa"/>
            <w:vAlign w:val="top"/>
            <w:noWrap/>
          </w:tcPr>
          <w:p>
            <w:pPr/>
            <w:r>
              <w:pict>
                <v:shape type="#_x0000_t75" stroked="f" style="width:242pt; height:161.06641455921pt; margin-left:0pt; margin-top:113.38582677165pt; mso-position-horizontal:left; mso-position-vertical:top; mso-position-horizontal-relative:char; mso-position-vertical-relative:line;">
                  <w10:wrap type="inline"/>
                  <v:imagedata r:id="rId14" o:title=""/>
                </v:shape>
              </w:pict>
            </w:r>
          </w:p>
        </w:tc>
      </w:tr>
    </w:tbl>
    <w:p/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Буйная растительность саванны уступит место пальмам и тропическим цветам, прохлада и свежесть – влажному и теплому океанскому бризу, запахи листвы сменятся ароматами специй.</w:t>
            </w:r>
          </w:p>
          <w:p>
            <w:pPr>
              <w:spacing w:after="100"/>
            </w:pPr>
            <w:r>
              <w:rPr/>
              <w:t xml:space="preserve">Здесь в любой детали прослеживается историческое влияние арабской культуры. Вы словно переноситесь в сказку про Али Бабу и 40 разбойников.</w:t>
            </w:r>
          </w:p>
          <w:p>
            <w:pPr>
              <w:spacing w:after="100"/>
            </w:pPr>
            <w:r>
              <w:rPr/>
              <w:t xml:space="preserve">Вас ждет размещение в уютном небольшом отеле, расположенном на самом берегу Индийского океана.</w:t>
            </w:r>
          </w:p>
          <w:p>
            <w:pPr>
              <w:spacing w:after="100"/>
            </w:pPr>
            <w:r>
              <w:rPr/>
              <w:t xml:space="preserve">Это идеальное место, чтобы насладиться африканским солнцем, лазурным океаном и безмятежным отдыхом.</w: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Almanara, The Residence Villa</w:t>
      </w:r>
    </w:p>
    <w:p>
      <w:pPr/>
      <w:r>
        <w:rPr>
          <w:b w:val="1"/>
          <w:bCs w:val="1"/>
        </w:rPr>
        <w:t xml:space="preserve">Питание: </w:t>
      </w:r>
      <w:r>
        <w:rPr/>
        <w:t xml:space="preserve">Все включено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8: Отдых на побережье Индийского океана.</w:t>
      </w:r>
    </w:p>
    <w:tbl>
      <w:tblGrid>
        <w:gridCol w:w="5442.5196850393704153248108923435211181640625" w:type="dxa"/>
        <w:gridCol w:w="3628.346456692913307051640003919601440429687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5442.5196850393704153248108923435211181640625" w:type="dxa"/>
            <w:vAlign w:val="top"/>
            <w:noWrap/>
          </w:tcPr>
          <w:p>
            <w:pPr>
              <w:spacing w:after="100"/>
            </w:pPr>
            <w:r>
              <w:rPr/>
              <w:t xml:space="preserve">Отдых на побережье Индийского океана.</w:t>
            </w:r>
          </w:p>
        </w:tc>
        <w:tc>
          <w:tcPr>
            <w:tcW w:w="3628.3464566929133070516400039196014404296875" w:type="dxa"/>
            <w:vAlign w:val="top"/>
            <w:noWrap/>
          </w:tcPr>
          <w:p>
            <w:pPr/>
            <w:r>
              <w:pict>
                <v:shape type="#_x0000_t75" stroked="f" style="width:242pt; height:149.69187935035pt; margin-left:0pt; margin-top:113.38582677165pt; mso-position-horizontal:left; mso-position-vertical:top; mso-position-horizontal-relative:char; mso-position-vertical-relative:line;">
                  <w10:wrap type="inline"/>
                  <v:imagedata r:id="rId15" o:title=""/>
                </v:shape>
              </w:pict>
            </w:r>
          </w:p>
        </w:tc>
      </w:tr>
    </w:tbl>
    <w:p/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Южное побережье Момбасы славится круглогодично хорошей погодой, белоснежными песчаными пляжами, теплыми и спокойными водами Индийского океана, свежими морепродуктами и тропическими фруктами.</w: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Almanara, The Residence Villa</w:t>
      </w:r>
    </w:p>
    <w:p>
      <w:pPr/>
      <w:r>
        <w:rPr>
          <w:b w:val="1"/>
          <w:bCs w:val="1"/>
        </w:rPr>
        <w:t xml:space="preserve">Питание: </w:t>
      </w:r>
      <w:r>
        <w:rPr/>
        <w:t xml:space="preserve">Все включено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9: Отдых на побережье Индийского океана.</w:t>
      </w:r>
    </w:p>
    <w:tbl>
      <w:tblGrid>
        <w:gridCol w:w="5442.5196850393704153248108923435211181640625" w:type="dxa"/>
        <w:gridCol w:w="3628.346456692913307051640003919601440429687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5442.5196850393704153248108923435211181640625" w:type="dxa"/>
            <w:vAlign w:val="top"/>
            <w:noWrap/>
          </w:tcPr>
          <w:p>
            <w:pPr>
              <w:spacing w:after="100"/>
            </w:pPr>
            <w:r>
              <w:rPr/>
              <w:t xml:space="preserve">Отдых на побережье Индийского океана.</w:t>
            </w:r>
          </w:p>
        </w:tc>
        <w:tc>
          <w:tcPr>
            <w:tcW w:w="3628.3464566929133070516400039196014404296875" w:type="dxa"/>
            <w:vAlign w:val="top"/>
            <w:noWrap/>
          </w:tcPr>
          <w:p>
            <w:pPr/>
            <w:r>
              <w:pict>
                <v:shape type="#_x0000_t75" stroked="f" style="width:242pt; height:161.33333333333pt; margin-left:0pt; margin-top:113.38582677165pt; mso-position-horizontal:left; mso-position-vertical:top; mso-position-horizontal-relative:char; mso-position-vertical-relative:line;">
                  <w10:wrap type="inline"/>
                  <v:imagedata r:id="rId16" o:title=""/>
                </v:shape>
              </w:pict>
            </w:r>
          </w:p>
        </w:tc>
      </w:tr>
    </w:tbl>
    <w:p/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Южное побережье Момбасы славится круглогодично хорошей погодой, белоснежными песчаными пляжами, теплыми и спокойными водами Индийского океана, свежими морепродуктами и тропическими фруктами.</w: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Almanara, The Residence Villa</w:t>
      </w:r>
    </w:p>
    <w:p>
      <w:pPr/>
      <w:r>
        <w:rPr>
          <w:b w:val="1"/>
          <w:bCs w:val="1"/>
        </w:rPr>
        <w:t xml:space="preserve">Питание: </w:t>
      </w:r>
      <w:r>
        <w:rPr/>
        <w:t xml:space="preserve">Все включено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10: Трансфер в международный аэропорт.</w:t>
      </w:r>
    </w:p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Завтрак в отеле. Трансфер в международный аэропорт Момбасы (MOI) для вылета.</w:t>
            </w:r>
          </w:p>
        </w:tc>
      </w:tr>
    </w:tbl>
    <w:p/>
    <w:p>
      <w:pPr>
        <w:pStyle w:val="Heading2"/>
      </w:pPr>
      <w:bookmarkStart w:id="2" w:name="_Toc2"/>
      <w:r>
        <w:t>Цены тура «Флагманская коллекция: Сафари в Кении + отдых на побережье Индийского океана»</w:t>
      </w:r>
      <w:bookmarkEnd w:id="2"/>
    </w:p>
    <w:p>
      <w:pPr/>
      <w:r>
        <w:rPr>
          <w:b w:val="1"/>
          <w:bCs w:val="1"/>
        </w:rPr>
        <w:t xml:space="preserve">Стоимость тура за одного человека</w:t>
      </w:r>
    </w:p>
    <w:p/>
    <w:tbl>
      <w:tblGrid>
        <w:gridCol w:w="5102.3622047244089117157272994518280029296875" w:type="dxa"/>
        <w:gridCol w:w="1984.2519685039369505830109119415283203125" w:type="dxa"/>
        <w:gridCol w:w="1984.2519685039369505830109119415283203125" w:type="dxa"/>
      </w:tblGrid>
      <w:tblPr>
        <w:tblStyle w:val="PriceTable"/>
      </w:tblPr>
      <w:tr>
        <w:trPr/>
        <w:tc>
          <w:tcPr>
            <w:tcW w:w="9070.866141732281903387047350406646728515625" w:type="dxa"/>
            <w:vAlign w:val="center"/>
            <w:shd w:val="clear" w:fill="F2F2F2"/>
            <w:gridSpan w:val="3"/>
            <w:noWrap/>
          </w:tcPr>
          <w:p>
            <w:pPr/>
            <w:r>
              <w:rPr>
                <w:b w:val="1"/>
                <w:bCs w:val="1"/>
              </w:rPr>
              <w:t xml:space="preserve">Период путешествия:</w:t>
            </w:r>
          </w:p>
        </w:tc>
      </w:tr>
      <w:tr>
        <w:trPr/>
        <w:tc>
          <w:tcPr>
            <w:tcW w:w="5102.3622047244089117157272994518280029296875" w:type="dxa"/>
            <w:noWrap/>
          </w:tcPr>
          <w:p>
            <w:pPr/>
            <w:r>
              <w:rPr>
                <w:b w:val="1"/>
                <w:bCs w:val="1"/>
              </w:rPr>
              <w:t xml:space="preserve">Наименование</w:t>
            </w:r>
          </w:p>
        </w:tc>
        <w:tc>
          <w:tcPr>
            <w:tcW w:w="1984.2519685039369505830109119415283203125" w:type="dxa"/>
            <w:noWrap/>
          </w:tcPr>
          <w:p>
            <w:pPr>
              <w:pStyle w:val="pCenter"/>
            </w:pPr>
            <w:r>
              <w:rPr>
                <w:b w:val="1"/>
                <w:bCs w:val="1"/>
              </w:rPr>
              <w:t xml:space="preserve">SNGL</w:t>
            </w:r>
          </w:p>
        </w:tc>
        <w:tc>
          <w:tcPr>
            <w:tcW w:w="1984.2519685039369505830109119415283203125" w:type="dxa"/>
            <w:noWrap/>
          </w:tcPr>
          <w:p>
            <w:pPr>
              <w:pStyle w:val="pCenter"/>
            </w:pPr>
            <w:r>
              <w:rPr>
                <w:b w:val="1"/>
                <w:bCs w:val="1"/>
              </w:rPr>
              <w:t xml:space="preserve">DBL</w:t>
            </w:r>
          </w:p>
        </w:tc>
      </w:tr>
      <w:tr>
        <w:trPr/>
        <w:tc>
          <w:tcPr>
            <w:vAlign w:val="center"/>
            <w:noWrap/>
          </w:tcPr>
          <w:p>
            <w:pPr/>
            <w:r>
              <w:rPr/>
              <w:t xml:space="preserve">01.06 – 30.06.2026</w:t>
            </w:r>
          </w:p>
        </w:tc>
        <w:tc>
          <w:tcPr>
            <w:vAlign w:val="center"/>
            <w:noWrap/>
          </w:tcPr>
          <w:p>
            <w:pPr>
              <w:pStyle w:val="pRight"/>
            </w:pPr>
            <w:r>
              <w:rPr/>
              <w:t xml:space="preserve">22 259 $</w:t>
            </w:r>
          </w:p>
        </w:tc>
        <w:tc>
          <w:tcPr>
            <w:vAlign w:val="center"/>
            <w:noWrap/>
          </w:tcPr>
          <w:p>
            <w:pPr>
              <w:pStyle w:val="pRight"/>
            </w:pPr>
            <w:r>
              <w:rPr/>
              <w:t xml:space="preserve">18 780 $</w:t>
            </w:r>
          </w:p>
        </w:tc>
      </w:tr>
      <w:tr>
        <w:trPr/>
        <w:tc>
          <w:tcPr>
            <w:vAlign w:val="center"/>
            <w:noWrap/>
          </w:tcPr>
          <w:p>
            <w:pPr/>
            <w:r>
              <w:rPr/>
              <w:t xml:space="preserve">01.07 – 30.09.2026</w:t>
            </w:r>
          </w:p>
        </w:tc>
        <w:tc>
          <w:tcPr>
            <w:vAlign w:val="center"/>
            <w:noWrap/>
          </w:tcPr>
          <w:p>
            <w:pPr>
              <w:pStyle w:val="pRight"/>
            </w:pPr>
            <w:r>
              <w:rPr/>
              <w:t xml:space="preserve">24 167 $</w:t>
            </w:r>
          </w:p>
        </w:tc>
        <w:tc>
          <w:tcPr>
            <w:vAlign w:val="center"/>
            <w:noWrap/>
          </w:tcPr>
          <w:p>
            <w:pPr>
              <w:pStyle w:val="pRight"/>
            </w:pPr>
            <w:r>
              <w:rPr/>
              <w:t xml:space="preserve">20 445 $</w:t>
            </w:r>
          </w:p>
        </w:tc>
      </w:tr>
      <w:tr>
        <w:trPr/>
        <w:tc>
          <w:tcPr>
            <w:vAlign w:val="center"/>
            <w:noWrap/>
          </w:tcPr>
          <w:p>
            <w:pPr/>
            <w:r>
              <w:rPr/>
              <w:t xml:space="preserve">01.10 – 31.10.2026</w:t>
            </w:r>
          </w:p>
        </w:tc>
        <w:tc>
          <w:tcPr>
            <w:vAlign w:val="center"/>
            <w:noWrap/>
          </w:tcPr>
          <w:p>
            <w:pPr>
              <w:pStyle w:val="pRight"/>
            </w:pPr>
            <w:r>
              <w:rPr/>
              <w:t xml:space="preserve">22 637 $</w:t>
            </w:r>
          </w:p>
        </w:tc>
        <w:tc>
          <w:tcPr>
            <w:vAlign w:val="center"/>
            <w:noWrap/>
          </w:tcPr>
          <w:p>
            <w:pPr>
              <w:pStyle w:val="pRight"/>
            </w:pPr>
            <w:r>
              <w:rPr/>
              <w:t xml:space="preserve">19 160 $</w:t>
            </w:r>
          </w:p>
        </w:tc>
      </w:tr>
      <w:tr>
        <w:trPr/>
        <w:tc>
          <w:tcPr>
            <w:vAlign w:val="center"/>
            <w:noWrap/>
          </w:tcPr>
          <w:p>
            <w:pPr/>
            <w:r>
              <w:rPr/>
              <w:t xml:space="preserve">01.11 – 15.12.2026</w:t>
            </w:r>
          </w:p>
        </w:tc>
        <w:tc>
          <w:tcPr>
            <w:vAlign w:val="center"/>
            <w:noWrap/>
          </w:tcPr>
          <w:p>
            <w:pPr>
              <w:pStyle w:val="pRight"/>
            </w:pPr>
            <w:r>
              <w:rPr/>
              <w:t xml:space="preserve">19 606 $</w:t>
            </w:r>
          </w:p>
        </w:tc>
        <w:tc>
          <w:tcPr>
            <w:vAlign w:val="center"/>
            <w:noWrap/>
          </w:tcPr>
          <w:p>
            <w:pPr>
              <w:pStyle w:val="pRight"/>
            </w:pPr>
            <w:r>
              <w:rPr/>
              <w:t xml:space="preserve">16 220 $</w:t>
            </w:r>
          </w:p>
        </w:tc>
      </w:tr>
      <w:tr>
        <w:trPr/>
        <w:tc>
          <w:tcPr>
            <w:vAlign w:val="center"/>
            <w:noWrap/>
          </w:tcPr>
          <w:p>
            <w:pPr/>
            <w:r>
              <w:rPr/>
              <w:t xml:space="preserve">16.12 – 31.12.2026</w:t>
            </w:r>
          </w:p>
        </w:tc>
        <w:tc>
          <w:tcPr>
            <w:vAlign w:val="center"/>
            <w:noWrap/>
          </w:tcPr>
          <w:p>
            <w:pPr>
              <w:pStyle w:val="pRight"/>
            </w:pPr>
            <w:r>
              <w:rPr/>
              <w:t xml:space="preserve">24 324 $</w:t>
            </w:r>
          </w:p>
        </w:tc>
        <w:tc>
          <w:tcPr>
            <w:vAlign w:val="center"/>
            <w:noWrap/>
          </w:tcPr>
          <w:p>
            <w:pPr>
              <w:pStyle w:val="pRight"/>
            </w:pPr>
            <w:r>
              <w:rPr/>
              <w:t xml:space="preserve">20 600 $</w:t>
            </w:r>
          </w:p>
        </w:tc>
      </w:tr>
    </w:tbl>
    <w:p>
      <w:pPr>
        <w:pStyle w:val="Heading3"/>
      </w:pPr>
      <w:bookmarkStart w:id="3" w:name="_Toc3"/>
      <w:r>
        <w:t>В стоимость тура включено:</w:t>
      </w:r>
      <w:bookmarkEnd w:id="3"/>
    </w:p>
    <w:p>
      <w:pPr>
        <w:pStyle w:val="listTight"/>
        <w:numPr>
          <w:ilvl w:val="0"/>
          <w:numId w:val="10"/>
        </w:numPr>
      </w:pPr>
      <w:r>
        <w:rPr/>
        <w:t xml:space="preserve">Проживание и питание по программе    </w:t>
      </w:r>
    </w:p>
    <w:p>
      <w:pPr>
        <w:pStyle w:val="listTight"/>
        <w:numPr>
          <w:ilvl w:val="0"/>
          <w:numId w:val="10"/>
        </w:numPr>
      </w:pPr>
      <w:r>
        <w:rPr/>
        <w:t xml:space="preserve">Внутренние перелеты    </w:t>
      </w:r>
    </w:p>
    <w:p>
      <w:pPr>
        <w:pStyle w:val="listTight"/>
        <w:numPr>
          <w:ilvl w:val="0"/>
          <w:numId w:val="10"/>
        </w:numPr>
      </w:pPr>
      <w:r>
        <w:rPr/>
        <w:t xml:space="preserve">Транспортное и экскурсионное обслуживание по программе с англоговорящим гидом </w:t>
      </w:r>
    </w:p>
    <w:p>
      <w:pPr>
        <w:pStyle w:val="Heading3"/>
      </w:pPr>
      <w:bookmarkStart w:id="4" w:name="_Toc4"/>
      <w:r>
        <w:t>Оплачивается дополнительно:</w:t>
      </w:r>
      <w:bookmarkEnd w:id="4"/>
    </w:p>
    <w:p>
      <w:pPr>
        <w:pStyle w:val="listTight"/>
        <w:numPr>
          <w:ilvl w:val="0"/>
          <w:numId w:val="10"/>
        </w:numPr>
      </w:pPr>
      <w:r>
        <w:rPr/>
        <w:t xml:space="preserve">Чаевые и расходы личного характера</w:t>
      </w:r>
    </w:p>
    <w:p>
      <w:pPr>
        <w:pStyle w:val="listTight"/>
        <w:numPr>
          <w:ilvl w:val="0"/>
          <w:numId w:val="10"/>
        </w:numPr>
      </w:pPr>
      <w:r>
        <w:rPr/>
        <w:t xml:space="preserve">Международный перелет </w:t>
      </w:r>
    </w:p>
    <w:p>
      <w:pPr>
        <w:pStyle w:val="listTight"/>
        <w:numPr>
          <w:ilvl w:val="0"/>
          <w:numId w:val="10"/>
        </w:numPr>
      </w:pPr>
      <w:r>
        <w:rPr/>
        <w:t xml:space="preserve">Визовый сбор</w:t>
      </w:r>
    </w:p>
    <w:p>
      <w:pPr>
        <w:pStyle w:val="listTight"/>
        <w:numPr>
          <w:ilvl w:val="0"/>
          <w:numId w:val="10"/>
        </w:numPr>
      </w:pPr>
      <w:r>
        <w:rPr/>
        <w:t xml:space="preserve">Медицинская страховка    </w:t>
      </w:r>
    </w:p>
    <w:p/>
    <w:p>
      <w:pPr>
        <w:pStyle w:val="pStyle"/>
      </w:pPr>
      <w:r>
        <w:rPr/>
        <w:t xml:space="preserve">Телефон для заказа: +7(925) 514-83-53</w:t>
      </w:r>
    </w:p>
    <w:p>
      <w:pPr>
        <w:pStyle w:val="pStyle"/>
      </w:pPr>
      <w:r>
        <w:rPr/>
        <w:t xml:space="preserve">E-mail: info@wildtrek.ru</w:t>
      </w:r>
    </w:p>
    <w:sectPr>
      <w:pgSz w:orient="portrait" w:w="11905.511811023621703498065471649169921875" w:h="16837.7952755905498634092509746551513671875"/>
      <w:pgMar w:top="1133.858267716535237923380918800830841064453125" w:right="1133.858267716535237923380918800830841064453125" w:bottom="1133.858267716535237923380918800830841064453125" w:left="1133.858267716535237923380918800830841064453125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0">
    <w:nsid w:val="6DE55DD7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0">
    <w:abstractNumId w:val="1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Arial" w:cs="Times New Roman"/>
        <w:color w:val="000000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360"/>
    </w:pPr>
    <w:rPr>
      <w:sz w:val="44"/>
      <w:szCs w:val="44"/>
      <w:b w:val="1"/>
      <w:bCs w:val="1"/>
    </w:rPr>
  </w:style>
  <w:style w:type="paragraph" w:styleId="Heading2">
    <w:link w:val="Heading2Char"/>
    <w:name w:val="heading 2"/>
    <w:basedOn w:val="Normal"/>
    <w:pPr>
      <w:spacing w:before="400" w:after="28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spacing w:before="320" w:after="200"/>
    </w:pPr>
    <w:rPr>
      <w:sz w:val="28"/>
      <w:szCs w:val="28"/>
      <w:b w:val="1"/>
      <w:bCs w:val="1"/>
    </w:rPr>
  </w:style>
  <w:style w:type="paragraph" w:customStyle="1" w:styleId="pStyle">
    <w:name w:val="pStyle"/>
    <w:basedOn w:val="Normal"/>
    <w:pPr>
      <w:spacing w:after="0" w:line="240" w:lineRule="auto"/>
    </w:pPr>
  </w:style>
  <w:style w:type="paragraph" w:customStyle="1" w:styleId="pCenter">
    <w:name w:val="pCenter"/>
    <w:basedOn w:val="Normal"/>
    <w:pPr>
      <w:jc w:val="center"/>
      <w:spacing w:line="240" w:lineRule="auto"/>
    </w:pPr>
  </w:style>
  <w:style w:type="paragraph" w:customStyle="1" w:styleId="pRight">
    <w:name w:val="pRight"/>
    <w:basedOn w:val="Normal"/>
    <w:pPr>
      <w:jc w:val="end"/>
      <w:spacing w:line="240" w:lineRule="auto"/>
    </w:pPr>
  </w:style>
  <w:style w:type="table" w:customStyle="1" w:styleId="PriceTable">
    <w:name w:val="PriceTable"/>
    <w:uiPriority w:val="99"/>
    <w:tblPr>
      <w:tblW w:w="0" w:type="auto"/>
      <w:tblLayout w:type="autofit"/>
      <w:tblCellMar>
        <w:top w:w="100" w:type="dxa"/>
        <w:left w:w="100" w:type="dxa"/>
        <w:right w:w="100" w:type="dxa"/>
        <w:bottom w:w="100" w:type="dxa"/>
      </w:tblCellMar>
      <w:tblBorders>
        <w:top w:val="single" w:sz="6" w:color="999999"/>
        <w:left w:val="single" w:sz="6" w:color="999999"/>
        <w:right w:val="single" w:sz="6" w:color="999999"/>
        <w:bottom w:val="single" w:sz="6" w:color="999999"/>
        <w:insideH w:val="single" w:sz="6" w:color="999999"/>
        <w:insideV w:val="single" w:sz="6" w:color="999999"/>
      </w:tblBorders>
    </w:tblPr>
  </w:style>
  <w:style w:type="paragraph" w:customStyle="1" w:styleId="pTight">
    <w:name w:val="pTight"/>
    <w:basedOn w:val="Normal"/>
    <w:pPr>
      <w:spacing w:before="0" w:after="0" w:line="240" w:lineRule="auto"/>
    </w:pPr>
  </w:style>
  <w:style w:type="paragraph" w:customStyle="1" w:styleId="listTight">
    <w:name w:val="listTight"/>
    <w:basedOn w:val="Normal"/>
    <w:pPr>
      <w:ind w:left="283.46456692913380948084522970020771026611328125" w:right="0" w:firstLine="0" w:hanging="0"/>
      <w:spacing w:before="0"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jpg"/><Relationship Id="rId9" Type="http://schemas.openxmlformats.org/officeDocument/2006/relationships/image" Target="media/section_image3.png"/><Relationship Id="rId10" Type="http://schemas.openxmlformats.org/officeDocument/2006/relationships/image" Target="media/section_image4.png"/><Relationship Id="rId11" Type="http://schemas.openxmlformats.org/officeDocument/2006/relationships/image" Target="media/section_image5.jpg"/><Relationship Id="rId12" Type="http://schemas.openxmlformats.org/officeDocument/2006/relationships/image" Target="media/section_image6.jpg"/><Relationship Id="rId13" Type="http://schemas.openxmlformats.org/officeDocument/2006/relationships/image" Target="media/section_image7.jpg"/><Relationship Id="rId14" Type="http://schemas.openxmlformats.org/officeDocument/2006/relationships/image" Target="media/section_image8.jpg"/><Relationship Id="rId15" Type="http://schemas.openxmlformats.org/officeDocument/2006/relationships/image" Target="media/section_image9.jpg"/><Relationship Id="rId16" Type="http://schemas.openxmlformats.org/officeDocument/2006/relationships/image" Target="media/section_image10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2026-09-13T15:51:52+03:00</dcterms:created>
  <dcterms:modified xsi:type="dcterms:W3CDTF">2026-09-13T15:51:52+03:00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